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AEC205" w14:textId="77777777" w:rsidR="00A67034" w:rsidRDefault="00F60CD9">
      <w:pPr>
        <w:rPr>
          <w:b/>
          <w:bCs/>
        </w:rPr>
      </w:pPr>
      <w:r>
        <w:rPr>
          <w:b/>
          <w:bCs/>
        </w:rPr>
        <w:t>Supplementary Figure 1</w:t>
      </w:r>
    </w:p>
    <w:p w14:paraId="01AEC206" w14:textId="77777777" w:rsidR="00A67034" w:rsidRDefault="00F60CD9">
      <w:pPr>
        <w:rPr>
          <w:b/>
          <w:bCs/>
        </w:rPr>
        <w:sectPr w:rsidR="00A67034">
          <w:headerReference w:type="default" r:id="rId10"/>
          <w:pgSz w:w="16834" w:h="11909" w:orient="landscape"/>
          <w:pgMar w:top="1440" w:right="1440" w:bottom="1440" w:left="1440" w:header="720" w:footer="720" w:gutter="0"/>
          <w:cols w:space="720"/>
        </w:sectPr>
      </w:pPr>
      <w:r>
        <w:rPr>
          <w:b/>
          <w:bCs/>
          <w:noProof/>
        </w:rPr>
        <w:drawing>
          <wp:inline distT="114300" distB="114300" distL="114300" distR="114300" wp14:anchorId="01AEC224" wp14:editId="01AEC225">
            <wp:extent cx="8083550" cy="4660049"/>
            <wp:effectExtent l="0" t="0" r="0" b="0"/>
            <wp:docPr id="4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83550" cy="46600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1AEC207" w14:textId="77777777" w:rsidR="00A67034" w:rsidRPr="00DF2E8D" w:rsidRDefault="00F60CD9">
      <w:pPr>
        <w:rPr>
          <w:b/>
          <w:bCs/>
        </w:rPr>
      </w:pPr>
      <w:r w:rsidRPr="00DF2E8D">
        <w:rPr>
          <w:b/>
          <w:bCs/>
        </w:rPr>
        <w:lastRenderedPageBreak/>
        <w:t xml:space="preserve">Supplementary Figure 1: Participant flow diagram. Trial 1 (At-Home dataset, February-March 2023) and Trial 2 (Clinic-Based dataset, September-October 2023) enrolled 13 and 26 participants respectively, with no overlap between trials (total n = 39). Exclusions per trial are shown with specific reasons. Paired n for each of the seven tube-pair comparisons reflects valid measurements after all exclusions. </w:t>
      </w:r>
    </w:p>
    <w:p w14:paraId="01AEC208" w14:textId="77777777" w:rsidR="00A67034" w:rsidRDefault="00F60CD9">
      <w:pPr>
        <w:rPr>
          <w:i/>
          <w:iCs/>
        </w:rPr>
      </w:pPr>
      <w:proofErr w:type="spellStart"/>
      <w:r>
        <w:rPr>
          <w:i/>
          <w:iCs/>
        </w:rPr>
        <w:t>cSS</w:t>
      </w:r>
      <w:proofErr w:type="spellEnd"/>
      <w:r>
        <w:rPr>
          <w:i/>
          <w:iCs/>
        </w:rPr>
        <w:t xml:space="preserve">-CAT = capillary serum separator clot activator tube; </w:t>
      </w:r>
    </w:p>
    <w:p w14:paraId="01AEC209" w14:textId="77777777" w:rsidR="00A67034" w:rsidRDefault="00F60CD9">
      <w:pPr>
        <w:rPr>
          <w:i/>
          <w:iCs/>
        </w:rPr>
      </w:pPr>
      <w:proofErr w:type="spellStart"/>
      <w:r>
        <w:rPr>
          <w:i/>
          <w:iCs/>
        </w:rPr>
        <w:t>cS</w:t>
      </w:r>
      <w:proofErr w:type="spellEnd"/>
      <w:r>
        <w:rPr>
          <w:i/>
          <w:iCs/>
        </w:rPr>
        <w:t xml:space="preserve">-CAT = capillary serum clot activator tube; </w:t>
      </w:r>
    </w:p>
    <w:p w14:paraId="01AEC20A" w14:textId="77777777" w:rsidR="00A67034" w:rsidRDefault="00F60CD9">
      <w:pPr>
        <w:rPr>
          <w:i/>
          <w:iCs/>
        </w:rPr>
      </w:pPr>
      <w:proofErr w:type="spellStart"/>
      <w:r>
        <w:rPr>
          <w:i/>
          <w:iCs/>
        </w:rPr>
        <w:t>vS</w:t>
      </w:r>
      <w:proofErr w:type="spellEnd"/>
      <w:r>
        <w:rPr>
          <w:i/>
          <w:iCs/>
        </w:rPr>
        <w:t xml:space="preserve">-CAT = venous serum clot activator tube; </w:t>
      </w:r>
    </w:p>
    <w:p w14:paraId="01AEC20B" w14:textId="77777777" w:rsidR="00A67034" w:rsidRDefault="00F60CD9">
      <w:pPr>
        <w:rPr>
          <w:i/>
          <w:iCs/>
        </w:rPr>
      </w:pPr>
      <w:proofErr w:type="spellStart"/>
      <w:r>
        <w:rPr>
          <w:i/>
          <w:iCs/>
        </w:rPr>
        <w:t>vSS</w:t>
      </w:r>
      <w:proofErr w:type="spellEnd"/>
      <w:r>
        <w:rPr>
          <w:i/>
          <w:iCs/>
        </w:rPr>
        <w:t xml:space="preserve">-CAT = venous serum separator clot activator tube; </w:t>
      </w:r>
    </w:p>
    <w:p w14:paraId="01AEC20C" w14:textId="77777777" w:rsidR="00A67034" w:rsidRDefault="00F60CD9">
      <w:pPr>
        <w:rPr>
          <w:i/>
          <w:iCs/>
        </w:rPr>
      </w:pPr>
      <w:r>
        <w:rPr>
          <w:i/>
          <w:iCs/>
        </w:rPr>
        <w:t>LOQ = limit of quantification.</w:t>
      </w:r>
    </w:p>
    <w:p w14:paraId="01AEC20D" w14:textId="77777777" w:rsidR="00A67034" w:rsidRDefault="00A67034">
      <w:pPr>
        <w:rPr>
          <w:i/>
          <w:iCs/>
        </w:rPr>
      </w:pPr>
    </w:p>
    <w:p w14:paraId="01AEC20E" w14:textId="77777777" w:rsidR="00A67034" w:rsidRPr="00DF2E8D" w:rsidRDefault="00F60CD9">
      <w:pPr>
        <w:rPr>
          <w:b/>
          <w:bCs/>
        </w:rPr>
      </w:pPr>
      <w:r w:rsidRPr="00DF2E8D">
        <w:rPr>
          <w:b/>
          <w:bCs/>
        </w:rPr>
        <w:t>Supplementary Data 1: Specimen Collection Device Description and Specifications</w:t>
      </w:r>
    </w:p>
    <w:p w14:paraId="01AEC20F" w14:textId="77777777" w:rsidR="00A67034" w:rsidRDefault="00A67034"/>
    <w:p w14:paraId="01AEC210" w14:textId="77777777" w:rsidR="00A67034" w:rsidRDefault="00F60CD9">
      <w:r>
        <w:t>1. Intended Purpose and Classification</w:t>
      </w:r>
    </w:p>
    <w:p w14:paraId="01AEC211" w14:textId="77777777" w:rsidR="00A67034" w:rsidRDefault="00F60CD9">
      <w:r>
        <w:t xml:space="preserve">The capillary blood samples </w:t>
      </w:r>
      <w:proofErr w:type="spellStart"/>
      <w:r>
        <w:t>analyzed</w:t>
      </w:r>
      <w:proofErr w:type="spellEnd"/>
      <w:r>
        <w:t xml:space="preserve"> in this study were collected using the </w:t>
      </w:r>
      <w:proofErr w:type="spellStart"/>
      <w:r>
        <w:t>Hertility</w:t>
      </w:r>
      <w:proofErr w:type="spellEnd"/>
      <w:r>
        <w:t xml:space="preserve"> Health Collection Kit (HER-KIT001). The device is a registered single-use, non-automated specimen collection and transport kit. It is classified as a Class A In Vitro Diagnostic Medical Device (IVD) under EU IVDR 2017/746 and registered as a General IVD under UK MDR 2002. The device serves solely as a specimen receptacle for sample collection and ambient transport to an accredited testing laboratory and performs no active analytical measurement.</w:t>
      </w:r>
    </w:p>
    <w:p w14:paraId="01AEC212" w14:textId="77777777" w:rsidR="00A67034" w:rsidRDefault="00A67034"/>
    <w:p w14:paraId="01AEC213" w14:textId="77777777" w:rsidR="00A67034" w:rsidRDefault="00F60CD9">
      <w:r>
        <w:t>2. Kit Components and Specifications</w:t>
      </w:r>
    </w:p>
    <w:p w14:paraId="01AEC214" w14:textId="77777777" w:rsidR="00A67034" w:rsidRDefault="00F60CD9">
      <w:r>
        <w:t>Each standardised user kit contains the following validated components:</w:t>
      </w:r>
    </w:p>
    <w:p w14:paraId="01AEC215" w14:textId="77777777" w:rsidR="00A67034" w:rsidRDefault="00F60CD9">
      <w:pPr>
        <w:numPr>
          <w:ilvl w:val="0"/>
          <w:numId w:val="2"/>
        </w:numPr>
      </w:pPr>
      <w:r>
        <w:t>Micro-collection tube (1×): Capillary Serum Separator Clot Activator Tube (</w:t>
      </w:r>
      <w:proofErr w:type="spellStart"/>
      <w:r>
        <w:t>cSS</w:t>
      </w:r>
      <w:proofErr w:type="spellEnd"/>
      <w:r>
        <w:t xml:space="preserve">-CAT, </w:t>
      </w:r>
      <w:proofErr w:type="spellStart"/>
      <w:r>
        <w:t>MiniCollect</w:t>
      </w:r>
      <w:proofErr w:type="spellEnd"/>
      <w:r>
        <w:t>®, 0.8 mL) or Capillary Serum Clot Activator Tube (</w:t>
      </w:r>
      <w:proofErr w:type="spellStart"/>
      <w:r>
        <w:t>cS</w:t>
      </w:r>
      <w:proofErr w:type="spellEnd"/>
      <w:r>
        <w:t xml:space="preserve">-CAT, </w:t>
      </w:r>
      <w:proofErr w:type="spellStart"/>
      <w:r>
        <w:t>MiniCollect</w:t>
      </w:r>
      <w:proofErr w:type="spellEnd"/>
      <w:r>
        <w:t>®, 1.0 mL) featuring a silicon dioxide (SiO2) particle-based clot activator.</w:t>
      </w:r>
    </w:p>
    <w:p w14:paraId="01AEC216" w14:textId="77777777" w:rsidR="00A67034" w:rsidRDefault="00F60CD9">
      <w:pPr>
        <w:numPr>
          <w:ilvl w:val="0"/>
          <w:numId w:val="2"/>
        </w:numPr>
      </w:pPr>
      <w:r>
        <w:t>Mechanical accessories: Disposable sterile lancets (5×), alcohol preparatory wipes (2×), cotton swabs (3×), and adhesive plasters (2×).</w:t>
      </w:r>
    </w:p>
    <w:p w14:paraId="01AEC217" w14:textId="77777777" w:rsidR="00A67034" w:rsidRDefault="00F60CD9">
      <w:pPr>
        <w:numPr>
          <w:ilvl w:val="0"/>
          <w:numId w:val="2"/>
        </w:numPr>
      </w:pPr>
      <w:r>
        <w:t>Packaging and logistics: Detailed Instructions for Use (IFU), unique collection tube labels, laboratory return form, protective secondary plastic wallet containing absorbent material, and a prepaid return mail envelope.</w:t>
      </w:r>
    </w:p>
    <w:p w14:paraId="01AEC218" w14:textId="77777777" w:rsidR="00A67034" w:rsidRDefault="00A67034"/>
    <w:p w14:paraId="01AEC219" w14:textId="77777777" w:rsidR="00A67034" w:rsidRDefault="00F60CD9">
      <w:r>
        <w:t>3. Pre-Analytical Transport and Environmental Controls</w:t>
      </w:r>
    </w:p>
    <w:p w14:paraId="01AEC21A" w14:textId="77777777" w:rsidR="00A67034" w:rsidRDefault="00F60CD9">
      <w:pPr>
        <w:numPr>
          <w:ilvl w:val="0"/>
          <w:numId w:val="1"/>
        </w:numPr>
      </w:pPr>
      <w:r>
        <w:t>Logistics Compliance: Sample transport packaging strictly complies with UN3373 biological substance category B standards utilizing a robust three-layer system (primary tube receptacle, secondary protective plastic wallet with structural leak-proof absorbent material, and a rigid outer kit envelope)</w:t>
      </w:r>
    </w:p>
    <w:p w14:paraId="01AEC21B" w14:textId="77777777" w:rsidR="00A67034" w:rsidRDefault="00F60CD9">
      <w:pPr>
        <w:numPr>
          <w:ilvl w:val="0"/>
          <w:numId w:val="1"/>
        </w:numPr>
      </w:pPr>
      <w:r>
        <w:t>Temperature Tolerance: The device and its internal components are validated for storage and transit across a defined ambient temperature range of 5°C to 25°C.</w:t>
      </w:r>
    </w:p>
    <w:p w14:paraId="01AEC21C" w14:textId="77777777" w:rsidR="00A67034" w:rsidRDefault="00F60CD9">
      <w:pPr>
        <w:numPr>
          <w:ilvl w:val="0"/>
          <w:numId w:val="1"/>
        </w:numPr>
      </w:pPr>
      <w:r>
        <w:t>Stability Logistics: The partner laboratory enforces a maximum 7-day specimen acceptance timeframe from the point of collection, though all study samples arrived within a median transit duration of 13 hours.</w:t>
      </w:r>
    </w:p>
    <w:p w14:paraId="01AEC21D" w14:textId="77777777" w:rsidR="00A67034" w:rsidRDefault="00A67034">
      <w:pPr>
        <w:rPr>
          <w:b/>
          <w:bCs/>
        </w:rPr>
      </w:pPr>
    </w:p>
    <w:sectPr w:rsidR="00A67034">
      <w:pgSz w:w="11909" w:h="16834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C69C9" w14:textId="77777777" w:rsidR="00F90CBE" w:rsidRDefault="00F90CBE">
      <w:pPr>
        <w:spacing w:line="240" w:lineRule="auto"/>
      </w:pPr>
      <w:r>
        <w:separator/>
      </w:r>
    </w:p>
  </w:endnote>
  <w:endnote w:type="continuationSeparator" w:id="0">
    <w:p w14:paraId="4F2394DD" w14:textId="77777777" w:rsidR="00F90CBE" w:rsidRDefault="00F90C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F925DBDF-6BF3-4A88-A609-2A56A4CB990B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F573868D-530A-44A4-8631-6568B87C5807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8A087" w14:textId="77777777" w:rsidR="00F90CBE" w:rsidRDefault="00F90CBE">
      <w:pPr>
        <w:spacing w:line="240" w:lineRule="auto"/>
      </w:pPr>
      <w:r>
        <w:separator/>
      </w:r>
    </w:p>
  </w:footnote>
  <w:footnote w:type="continuationSeparator" w:id="0">
    <w:p w14:paraId="31316D53" w14:textId="77777777" w:rsidR="00F90CBE" w:rsidRDefault="00F90C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EC226" w14:textId="77777777" w:rsidR="00A67034" w:rsidRDefault="00A67034">
    <w:pPr>
      <w:rPr>
        <w:b/>
        <w:bCs/>
      </w:rPr>
    </w:pPr>
  </w:p>
  <w:p w14:paraId="01AEC227" w14:textId="77777777" w:rsidR="00A67034" w:rsidRDefault="00A67034">
    <w:pPr>
      <w:rPr>
        <w:b/>
        <w:bCs/>
      </w:rPr>
    </w:pPr>
  </w:p>
  <w:p w14:paraId="01AEC228" w14:textId="77777777" w:rsidR="00A67034" w:rsidRDefault="00A6703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6E1EFF"/>
    <w:multiLevelType w:val="multilevel"/>
    <w:tmpl w:val="9A04021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28382B9E"/>
    <w:multiLevelType w:val="multilevel"/>
    <w:tmpl w:val="163C4A5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910580815">
    <w:abstractNumId w:val="1"/>
  </w:num>
  <w:num w:numId="2" w16cid:durableId="814837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034"/>
    <w:rsid w:val="00213048"/>
    <w:rsid w:val="00442BA5"/>
    <w:rsid w:val="00530D50"/>
    <w:rsid w:val="00732B02"/>
    <w:rsid w:val="00A67034"/>
    <w:rsid w:val="00AF1530"/>
    <w:rsid w:val="00DF2E8D"/>
    <w:rsid w:val="00E1028E"/>
    <w:rsid w:val="00F60CD9"/>
    <w:rsid w:val="00F9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AEC144"/>
  <w15:docId w15:val="{BE06D32F-3485-4FE2-A08A-F55A64B8B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17AB2EF1-F144-4328-B976-DDCA9D56B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77854C-436D-4516-8692-36A7EE7EE1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229F03-1C63-412C-A256-E771F5D9C1BB}">
  <ds:schemaRefs>
    <ds:schemaRef ds:uri="http://schemas.microsoft.com/office/2006/metadata/properties"/>
    <ds:schemaRef ds:uri="http://schemas.microsoft.com/office/infopath/2007/PartnerControls"/>
    <ds:schemaRef ds:uri="34ef6fd2-5125-4c23-b935-9d16404da0a5"/>
    <ds:schemaRef ds:uri="8c3c43cf-186b-4613-84b4-a4ff23217b5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2345</Characters>
  <Application>Microsoft Office Word</Application>
  <DocSecurity>0</DocSecurity>
  <Lines>19</Lines>
  <Paragraphs>5</Paragraphs>
  <ScaleCrop>false</ScaleCrop>
  <Company/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Sankeetha Nadarajah</cp:lastModifiedBy>
  <cp:revision>3</cp:revision>
  <dcterms:created xsi:type="dcterms:W3CDTF">2026-06-23T15:40:00Z</dcterms:created>
  <dcterms:modified xsi:type="dcterms:W3CDTF">2026-06-23T15:40:00Z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MediaServiceImageTags">
    <vt:lpwstr/>
  </property>
</Properties>
</file>